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F9D32" w14:textId="77777777" w:rsidR="00057C6D" w:rsidRDefault="000001AC" w:rsidP="006A1115">
      <w:pPr>
        <w:pStyle w:val="ListParagraph"/>
        <w:keepLines/>
        <w:numPr>
          <w:ilvl w:val="0"/>
          <w:numId w:val="6"/>
        </w:numPr>
        <w:spacing w:before="240"/>
        <w:ind w:left="567" w:hanging="567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580F17">
        <w:rPr>
          <w:rFonts w:ascii="Arial" w:eastAsia="Times New Roman" w:hAnsi="Arial" w:cs="Arial"/>
          <w:color w:val="auto"/>
          <w:sz w:val="22"/>
          <w:szCs w:val="22"/>
        </w:rPr>
        <w:t>T</w:t>
      </w:r>
      <w:r w:rsidR="000635C0" w:rsidRPr="00580F17">
        <w:rPr>
          <w:rFonts w:ascii="Arial" w:eastAsia="Times New Roman" w:hAnsi="Arial" w:cs="Arial"/>
          <w:color w:val="auto"/>
          <w:sz w:val="22"/>
          <w:szCs w:val="22"/>
        </w:rPr>
        <w:t xml:space="preserve">he Royal Commission into Institutional Responses to Child Sexual Abuse in the </w:t>
      </w:r>
      <w:r w:rsidR="000635C0" w:rsidRPr="00580F17">
        <w:rPr>
          <w:rFonts w:ascii="Arial" w:eastAsia="Times New Roman" w:hAnsi="Arial" w:cs="Arial"/>
          <w:i/>
          <w:color w:val="auto"/>
          <w:sz w:val="22"/>
          <w:szCs w:val="22"/>
        </w:rPr>
        <w:t>Redress and Civil Litigation Report</w:t>
      </w:r>
      <w:r w:rsidR="000635C0" w:rsidRPr="00580F17">
        <w:rPr>
          <w:rFonts w:ascii="Arial" w:eastAsia="Times New Roman" w:hAnsi="Arial" w:cs="Arial"/>
          <w:color w:val="auto"/>
          <w:sz w:val="22"/>
          <w:szCs w:val="22"/>
        </w:rPr>
        <w:t xml:space="preserve"> (the Report) made recommendations for improving the capacity of the justice system to provide fair access and outcomes to survivors of child sexual abuse wishing to pursue a claim for civil damages for personal injury arising from the abuse</w:t>
      </w:r>
      <w:r w:rsidR="00057C6D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1C8F9D33" w14:textId="77777777" w:rsidR="00594251" w:rsidRDefault="00B46B75" w:rsidP="006A1115">
      <w:pPr>
        <w:pStyle w:val="ListParagraph"/>
        <w:keepLines/>
        <w:numPr>
          <w:ilvl w:val="0"/>
          <w:numId w:val="6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0F17">
        <w:rPr>
          <w:rFonts w:ascii="Arial" w:hAnsi="Arial" w:cs="Arial"/>
          <w:sz w:val="22"/>
          <w:szCs w:val="22"/>
        </w:rPr>
        <w:t xml:space="preserve">On 16 August 2016, the Government released an Issues Paper </w:t>
      </w:r>
      <w:r w:rsidRPr="00580F17">
        <w:rPr>
          <w:rFonts w:ascii="Arial" w:eastAsia="Times New Roman" w:hAnsi="Arial" w:cs="Arial"/>
          <w:color w:val="auto"/>
          <w:sz w:val="22"/>
          <w:szCs w:val="22"/>
        </w:rPr>
        <w:t>titled</w:t>
      </w:r>
      <w:r w:rsidR="007B4371" w:rsidRPr="00580F17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580F17">
        <w:rPr>
          <w:rFonts w:ascii="Arial" w:hAnsi="Arial" w:cs="Arial"/>
          <w:sz w:val="22"/>
          <w:szCs w:val="22"/>
          <w:lang w:val="en-US"/>
        </w:rPr>
        <w:t xml:space="preserve">- </w:t>
      </w:r>
      <w:r w:rsidRPr="00580F17">
        <w:rPr>
          <w:rFonts w:ascii="Arial" w:hAnsi="Arial" w:cs="Arial"/>
          <w:i/>
          <w:sz w:val="22"/>
          <w:szCs w:val="22"/>
          <w:lang w:val="en-US"/>
        </w:rPr>
        <w:t>The civil litigation recommendations of the Royal Commission into Institutional Responses to Child Sexual Abuse: Redress and Civil Litigation Report – understanding the Queensland context.</w:t>
      </w:r>
      <w:r w:rsidRPr="00580F17">
        <w:rPr>
          <w:rFonts w:ascii="Arial" w:hAnsi="Arial" w:cs="Arial"/>
          <w:sz w:val="22"/>
          <w:szCs w:val="22"/>
        </w:rPr>
        <w:t xml:space="preserve"> Submissions closed on 25 October 2016 and further targeted consultation occurred in May and June 2017.</w:t>
      </w:r>
    </w:p>
    <w:p w14:paraId="1C8F9D35" w14:textId="77777777" w:rsidR="000001AC" w:rsidRDefault="000001AC" w:rsidP="006A1115">
      <w:pPr>
        <w:pStyle w:val="ListParagraph"/>
        <w:keepLines/>
        <w:numPr>
          <w:ilvl w:val="0"/>
          <w:numId w:val="6"/>
        </w:numPr>
        <w:spacing w:before="240"/>
        <w:ind w:left="567" w:hanging="56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80F17">
        <w:rPr>
          <w:rFonts w:ascii="Arial" w:eastAsia="Times New Roman" w:hAnsi="Arial" w:cs="Arial"/>
          <w:color w:val="auto"/>
          <w:sz w:val="22"/>
          <w:szCs w:val="22"/>
        </w:rPr>
        <w:t xml:space="preserve">In response to </w:t>
      </w:r>
      <w:r w:rsidRPr="00163EDA">
        <w:rPr>
          <w:rFonts w:ascii="Arial" w:eastAsia="Times New Roman" w:hAnsi="Arial" w:cs="Arial"/>
          <w:color w:val="auto"/>
          <w:sz w:val="22"/>
          <w:szCs w:val="22"/>
        </w:rPr>
        <w:t>recommendations 91-94</w:t>
      </w:r>
      <w:r w:rsidRPr="00DF56CA">
        <w:rPr>
          <w:rFonts w:ascii="Arial" w:eastAsia="Times New Roman" w:hAnsi="Arial" w:cs="Arial"/>
          <w:color w:val="auto"/>
          <w:sz w:val="22"/>
          <w:szCs w:val="22"/>
        </w:rPr>
        <w:t xml:space="preserve"> o</w:t>
      </w:r>
      <w:r w:rsidR="00BE660D" w:rsidRPr="00DF56CA">
        <w:rPr>
          <w:rFonts w:ascii="Arial" w:eastAsia="Times New Roman" w:hAnsi="Arial" w:cs="Arial"/>
          <w:color w:val="auto"/>
          <w:sz w:val="22"/>
          <w:szCs w:val="22"/>
        </w:rPr>
        <w:t>f</w:t>
      </w:r>
      <w:r w:rsidR="00BE660D" w:rsidRPr="00580F17">
        <w:rPr>
          <w:rFonts w:ascii="Arial" w:eastAsia="Times New Roman" w:hAnsi="Arial" w:cs="Arial"/>
          <w:color w:val="auto"/>
          <w:sz w:val="22"/>
          <w:szCs w:val="22"/>
        </w:rPr>
        <w:t xml:space="preserve"> the Report, the Bill amend</w:t>
      </w:r>
      <w:r w:rsidRPr="00580F17">
        <w:rPr>
          <w:rFonts w:ascii="Arial" w:eastAsia="Times New Roman" w:hAnsi="Arial" w:cs="Arial"/>
          <w:color w:val="auto"/>
          <w:sz w:val="22"/>
          <w:szCs w:val="22"/>
        </w:rPr>
        <w:t xml:space="preserve">s the </w:t>
      </w:r>
      <w:r w:rsidRPr="00580F17">
        <w:rPr>
          <w:rFonts w:ascii="Arial" w:eastAsia="Times New Roman" w:hAnsi="Arial" w:cs="Arial"/>
          <w:i/>
          <w:color w:val="auto"/>
          <w:sz w:val="22"/>
          <w:szCs w:val="22"/>
        </w:rPr>
        <w:t>Civil Liability Act 2003</w:t>
      </w:r>
      <w:r w:rsidR="00DE09A8" w:rsidRPr="00580F17">
        <w:rPr>
          <w:rFonts w:ascii="Arial" w:eastAsia="Times New Roman" w:hAnsi="Arial" w:cs="Arial"/>
          <w:color w:val="auto"/>
          <w:sz w:val="22"/>
          <w:szCs w:val="22"/>
        </w:rPr>
        <w:t xml:space="preserve"> to provide</w:t>
      </w:r>
      <w:r w:rsidRPr="00580F17">
        <w:rPr>
          <w:rFonts w:ascii="Arial" w:eastAsia="Times New Roman" w:hAnsi="Arial" w:cs="Arial"/>
          <w:color w:val="auto"/>
          <w:sz w:val="22"/>
          <w:szCs w:val="22"/>
        </w:rPr>
        <w:t xml:space="preserve"> for</w:t>
      </w:r>
      <w:r w:rsidRPr="00580F17">
        <w:rPr>
          <w:rFonts w:ascii="Arial" w:hAnsi="Arial" w:cs="Arial"/>
          <w:sz w:val="22"/>
          <w:szCs w:val="22"/>
        </w:rPr>
        <w:t xml:space="preserve">: a reverse onus (applied prospectively) under which institutions must prove they took all reasonable steps to prevent the sexual abuse of children in their care </w:t>
      </w:r>
      <w:r w:rsidR="007D06C8">
        <w:rPr>
          <w:rFonts w:ascii="Arial" w:hAnsi="Arial" w:cs="Arial"/>
          <w:sz w:val="22"/>
          <w:szCs w:val="22"/>
        </w:rPr>
        <w:t xml:space="preserve">by a person associated with the institution </w:t>
      </w:r>
      <w:r w:rsidRPr="00580F17">
        <w:rPr>
          <w:rFonts w:ascii="Arial" w:hAnsi="Arial" w:cs="Arial"/>
          <w:sz w:val="22"/>
          <w:szCs w:val="22"/>
        </w:rPr>
        <w:t xml:space="preserve">to avoid legal liability for the abuse; and a statutory framework for the nomination of a proper defendant by an </w:t>
      </w:r>
      <w:r w:rsidR="00A82828">
        <w:rPr>
          <w:rFonts w:ascii="Arial" w:hAnsi="Arial" w:cs="Arial"/>
          <w:sz w:val="22"/>
          <w:szCs w:val="22"/>
        </w:rPr>
        <w:t xml:space="preserve">unincorporated </w:t>
      </w:r>
      <w:r w:rsidRPr="00580F17">
        <w:rPr>
          <w:rFonts w:ascii="Arial" w:hAnsi="Arial" w:cs="Arial"/>
          <w:sz w:val="22"/>
          <w:szCs w:val="22"/>
        </w:rPr>
        <w:t xml:space="preserve">institution </w:t>
      </w:r>
      <w:r w:rsidRPr="00580F17">
        <w:rPr>
          <w:rFonts w:ascii="Arial" w:hAnsi="Arial" w:cs="Arial"/>
          <w:bCs/>
          <w:sz w:val="22"/>
          <w:szCs w:val="22"/>
        </w:rPr>
        <w:t>to meet any liability incurred by the institution.</w:t>
      </w:r>
    </w:p>
    <w:p w14:paraId="1C8F9D37" w14:textId="77777777" w:rsidR="00E973BC" w:rsidRPr="00EB129A" w:rsidRDefault="000001AC" w:rsidP="006A1115">
      <w:pPr>
        <w:pStyle w:val="ListParagraph"/>
        <w:keepLines/>
        <w:numPr>
          <w:ilvl w:val="0"/>
          <w:numId w:val="6"/>
        </w:numPr>
        <w:tabs>
          <w:tab w:val="num" w:pos="567"/>
        </w:tabs>
        <w:spacing w:before="240"/>
        <w:ind w:left="567" w:hanging="56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05F8">
        <w:rPr>
          <w:rFonts w:ascii="Arial" w:hAnsi="Arial" w:cs="Arial"/>
          <w:sz w:val="22"/>
          <w:szCs w:val="22"/>
        </w:rPr>
        <w:t xml:space="preserve">The Bill also amends the </w:t>
      </w:r>
      <w:r w:rsidRPr="006805F8">
        <w:rPr>
          <w:rFonts w:ascii="Arial" w:hAnsi="Arial" w:cs="Arial"/>
          <w:i/>
          <w:sz w:val="22"/>
          <w:szCs w:val="22"/>
        </w:rPr>
        <w:t>Civil Proceedings Act 2011</w:t>
      </w:r>
      <w:r w:rsidRPr="006805F8">
        <w:rPr>
          <w:rFonts w:ascii="Arial" w:hAnsi="Arial" w:cs="Arial"/>
          <w:sz w:val="22"/>
          <w:szCs w:val="22"/>
        </w:rPr>
        <w:t xml:space="preserve"> </w:t>
      </w:r>
      <w:r w:rsidR="00B46B75" w:rsidRPr="006805F8">
        <w:rPr>
          <w:rFonts w:ascii="Arial" w:hAnsi="Arial" w:cs="Arial"/>
          <w:sz w:val="22"/>
          <w:szCs w:val="22"/>
        </w:rPr>
        <w:t xml:space="preserve">to clarify that a person under a </w:t>
      </w:r>
      <w:r w:rsidR="00370F36">
        <w:rPr>
          <w:rFonts w:ascii="Arial" w:hAnsi="Arial" w:cs="Arial"/>
          <w:sz w:val="22"/>
          <w:szCs w:val="22"/>
        </w:rPr>
        <w:t>legal incapacity</w:t>
      </w:r>
      <w:r w:rsidR="00370F36" w:rsidRPr="006805F8">
        <w:rPr>
          <w:rFonts w:ascii="Arial" w:hAnsi="Arial" w:cs="Arial"/>
          <w:sz w:val="22"/>
          <w:szCs w:val="22"/>
        </w:rPr>
        <w:t xml:space="preserve"> </w:t>
      </w:r>
      <w:r w:rsidR="00B46B75" w:rsidRPr="006805F8">
        <w:rPr>
          <w:rFonts w:ascii="Arial" w:hAnsi="Arial" w:cs="Arial"/>
          <w:sz w:val="22"/>
          <w:szCs w:val="22"/>
        </w:rPr>
        <w:t xml:space="preserve">may recover the cost of trustee management fees in the award of damages for wrongful death </w:t>
      </w:r>
      <w:r w:rsidR="007B4371" w:rsidRPr="006805F8">
        <w:rPr>
          <w:rFonts w:ascii="Arial" w:hAnsi="Arial" w:cs="Arial"/>
          <w:sz w:val="22"/>
          <w:szCs w:val="22"/>
        </w:rPr>
        <w:t xml:space="preserve">of </w:t>
      </w:r>
      <w:r w:rsidR="00B46B75" w:rsidRPr="006805F8">
        <w:rPr>
          <w:rFonts w:ascii="Arial" w:hAnsi="Arial" w:cs="Arial"/>
          <w:sz w:val="22"/>
          <w:szCs w:val="22"/>
        </w:rPr>
        <w:t xml:space="preserve">members of </w:t>
      </w:r>
      <w:r w:rsidR="007B4371" w:rsidRPr="006805F8">
        <w:rPr>
          <w:rFonts w:ascii="Arial" w:hAnsi="Arial" w:cs="Arial"/>
          <w:sz w:val="22"/>
          <w:szCs w:val="22"/>
        </w:rPr>
        <w:t>the</w:t>
      </w:r>
      <w:r w:rsidR="00B46B75" w:rsidRPr="006805F8">
        <w:rPr>
          <w:rFonts w:ascii="Arial" w:hAnsi="Arial" w:cs="Arial"/>
          <w:sz w:val="22"/>
          <w:szCs w:val="22"/>
        </w:rPr>
        <w:t xml:space="preserve"> person’s family</w:t>
      </w:r>
      <w:r w:rsidR="00DE09A8" w:rsidRPr="006805F8">
        <w:rPr>
          <w:rFonts w:ascii="Arial" w:hAnsi="Arial" w:cs="Arial"/>
          <w:sz w:val="22"/>
          <w:szCs w:val="22"/>
        </w:rPr>
        <w:t>.</w:t>
      </w:r>
    </w:p>
    <w:p w14:paraId="1C8F9D38" w14:textId="15FDCABC" w:rsidR="00A95367" w:rsidRPr="00A95367" w:rsidRDefault="00A95367" w:rsidP="006A1115">
      <w:pPr>
        <w:pStyle w:val="ListParagraph"/>
        <w:keepLines/>
        <w:numPr>
          <w:ilvl w:val="0"/>
          <w:numId w:val="6"/>
        </w:numPr>
        <w:tabs>
          <w:tab w:val="num" w:pos="567"/>
        </w:tabs>
        <w:spacing w:before="240"/>
        <w:ind w:left="567" w:hanging="56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536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A95367">
        <w:rPr>
          <w:rFonts w:ascii="Arial" w:hAnsi="Arial" w:cs="Arial"/>
          <w:sz w:val="22"/>
          <w:szCs w:val="22"/>
          <w:u w:val="single"/>
        </w:rPr>
        <w:t>approved</w:t>
      </w:r>
      <w:r w:rsidRPr="00A95367">
        <w:rPr>
          <w:rFonts w:ascii="Arial" w:hAnsi="Arial" w:cs="Arial"/>
          <w:sz w:val="22"/>
          <w:szCs w:val="22"/>
        </w:rPr>
        <w:t xml:space="preserve"> the introduction of the Civil Liability and Other Legislation Amendment Bill 2018 </w:t>
      </w:r>
      <w:r w:rsidR="00E864DF">
        <w:rPr>
          <w:rFonts w:ascii="Arial" w:hAnsi="Arial" w:cs="Arial"/>
          <w:sz w:val="22"/>
          <w:szCs w:val="22"/>
        </w:rPr>
        <w:t>into the Legislation Assembly</w:t>
      </w:r>
      <w:r w:rsidRPr="00A95367">
        <w:rPr>
          <w:rFonts w:ascii="Arial" w:hAnsi="Arial" w:cs="Arial"/>
          <w:sz w:val="22"/>
          <w:szCs w:val="22"/>
        </w:rPr>
        <w:t>.</w:t>
      </w:r>
    </w:p>
    <w:p w14:paraId="1C8F9D39" w14:textId="77777777" w:rsidR="00E973BC" w:rsidRPr="000001AC" w:rsidRDefault="00E973BC" w:rsidP="006A1115">
      <w:pPr>
        <w:keepNext/>
        <w:numPr>
          <w:ilvl w:val="0"/>
          <w:numId w:val="6"/>
        </w:numPr>
        <w:spacing w:before="3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001AC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C8F9D3A" w14:textId="7AA74815" w:rsidR="000635C0" w:rsidRPr="000001AC" w:rsidRDefault="000045F5" w:rsidP="006A1115">
      <w:pPr>
        <w:numPr>
          <w:ilvl w:val="0"/>
          <w:numId w:val="2"/>
        </w:numPr>
        <w:tabs>
          <w:tab w:val="clear" w:pos="814"/>
          <w:tab w:val="num" w:pos="1134"/>
        </w:tabs>
        <w:spacing w:before="120"/>
        <w:ind w:left="1191" w:hanging="567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635C0" w:rsidRPr="001461B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Civil Liability and Other Legislation Amendment Bill 2018</w:t>
        </w:r>
      </w:hyperlink>
    </w:p>
    <w:p w14:paraId="1C8F9D3C" w14:textId="4137D9C9" w:rsidR="00E973BC" w:rsidRPr="00E864DF" w:rsidRDefault="000045F5" w:rsidP="006A1115">
      <w:pPr>
        <w:numPr>
          <w:ilvl w:val="0"/>
          <w:numId w:val="2"/>
        </w:numPr>
        <w:tabs>
          <w:tab w:val="clear" w:pos="814"/>
          <w:tab w:val="num" w:pos="1134"/>
        </w:tabs>
        <w:spacing w:before="120"/>
        <w:ind w:left="1191" w:hanging="56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0635C0" w:rsidRPr="001461B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E973BC" w:rsidRPr="00E864DF" w:rsidSect="00163EDA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26327" w14:textId="77777777" w:rsidR="001461BE" w:rsidRDefault="001461BE" w:rsidP="00D6589B">
      <w:r>
        <w:separator/>
      </w:r>
    </w:p>
  </w:endnote>
  <w:endnote w:type="continuationSeparator" w:id="0">
    <w:p w14:paraId="52A4E904" w14:textId="77777777" w:rsidR="001461BE" w:rsidRDefault="001461B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B21BC" w14:textId="77777777" w:rsidR="001461BE" w:rsidRDefault="001461BE" w:rsidP="00D6589B">
      <w:r>
        <w:separator/>
      </w:r>
    </w:p>
  </w:footnote>
  <w:footnote w:type="continuationSeparator" w:id="0">
    <w:p w14:paraId="2DC18EE8" w14:textId="77777777" w:rsidR="001461BE" w:rsidRDefault="001461B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F9D41" w14:textId="77777777" w:rsidR="001461BE" w:rsidRPr="00937A4A" w:rsidRDefault="001461BE" w:rsidP="002133B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C8F9D42" w14:textId="77777777" w:rsidR="001461BE" w:rsidRPr="00937A4A" w:rsidRDefault="001461BE" w:rsidP="002133B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C8F9D43" w14:textId="77777777" w:rsidR="001461BE" w:rsidRPr="00937A4A" w:rsidRDefault="001461BE" w:rsidP="002133B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2018</w:t>
    </w:r>
  </w:p>
  <w:p w14:paraId="1C8F9D44" w14:textId="77777777" w:rsidR="001461BE" w:rsidRPr="00580F17" w:rsidRDefault="001461BE" w:rsidP="002133B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80F17">
      <w:rPr>
        <w:rFonts w:ascii="Arial" w:hAnsi="Arial" w:cs="Arial"/>
        <w:b/>
        <w:sz w:val="22"/>
        <w:szCs w:val="22"/>
        <w:u w:val="single"/>
      </w:rPr>
      <w:t>Civil Liability and Other Legislation Amendment Bill 2018</w:t>
    </w:r>
  </w:p>
  <w:p w14:paraId="1C8F9D45" w14:textId="77777777" w:rsidR="001461BE" w:rsidRPr="003A13A1" w:rsidRDefault="001461BE" w:rsidP="002133B4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580F17">
      <w:rPr>
        <w:rFonts w:ascii="Arial" w:hAnsi="Arial" w:cs="Arial"/>
        <w:b/>
        <w:sz w:val="22"/>
        <w:szCs w:val="22"/>
        <w:u w:val="single"/>
      </w:rPr>
      <w:t xml:space="preserve">Attorney-General and Minister for Justice and Leader of the House </w:t>
    </w:r>
  </w:p>
  <w:p w14:paraId="1C8F9D46" w14:textId="77777777" w:rsidR="001461BE" w:rsidRDefault="001461BE" w:rsidP="006805F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5B3B13"/>
    <w:multiLevelType w:val="hybridMultilevel"/>
    <w:tmpl w:val="F956E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E4382"/>
    <w:multiLevelType w:val="hybridMultilevel"/>
    <w:tmpl w:val="16620DB6"/>
    <w:lvl w:ilvl="0" w:tplc="820ED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C0"/>
    <w:rsid w:val="000001AC"/>
    <w:rsid w:val="000045F5"/>
    <w:rsid w:val="000430DD"/>
    <w:rsid w:val="00057C6D"/>
    <w:rsid w:val="000635C0"/>
    <w:rsid w:val="000766C0"/>
    <w:rsid w:val="00080F8F"/>
    <w:rsid w:val="0008575A"/>
    <w:rsid w:val="00102858"/>
    <w:rsid w:val="001318FA"/>
    <w:rsid w:val="00140936"/>
    <w:rsid w:val="001461BE"/>
    <w:rsid w:val="00163EDA"/>
    <w:rsid w:val="00174117"/>
    <w:rsid w:val="001E209B"/>
    <w:rsid w:val="001E50B3"/>
    <w:rsid w:val="001E7127"/>
    <w:rsid w:val="002133B4"/>
    <w:rsid w:val="0021344B"/>
    <w:rsid w:val="002D649F"/>
    <w:rsid w:val="00370F36"/>
    <w:rsid w:val="003A13A1"/>
    <w:rsid w:val="003B5871"/>
    <w:rsid w:val="004E0EAE"/>
    <w:rsid w:val="004E3AE1"/>
    <w:rsid w:val="00501C66"/>
    <w:rsid w:val="0050474C"/>
    <w:rsid w:val="00550873"/>
    <w:rsid w:val="00572DDB"/>
    <w:rsid w:val="00580F17"/>
    <w:rsid w:val="00594251"/>
    <w:rsid w:val="00654B0A"/>
    <w:rsid w:val="006805F8"/>
    <w:rsid w:val="00690908"/>
    <w:rsid w:val="006A1115"/>
    <w:rsid w:val="00732E22"/>
    <w:rsid w:val="00757B12"/>
    <w:rsid w:val="007B4371"/>
    <w:rsid w:val="007D06C8"/>
    <w:rsid w:val="007D2E74"/>
    <w:rsid w:val="007D6F92"/>
    <w:rsid w:val="00821E64"/>
    <w:rsid w:val="008A4523"/>
    <w:rsid w:val="008F44CD"/>
    <w:rsid w:val="0093748E"/>
    <w:rsid w:val="00973B46"/>
    <w:rsid w:val="00985EF1"/>
    <w:rsid w:val="00A51E21"/>
    <w:rsid w:val="00A527A5"/>
    <w:rsid w:val="00A82828"/>
    <w:rsid w:val="00A95367"/>
    <w:rsid w:val="00AD7250"/>
    <w:rsid w:val="00AE69F0"/>
    <w:rsid w:val="00B46B75"/>
    <w:rsid w:val="00BE660D"/>
    <w:rsid w:val="00C07656"/>
    <w:rsid w:val="00C40FB0"/>
    <w:rsid w:val="00C75E67"/>
    <w:rsid w:val="00CB1501"/>
    <w:rsid w:val="00CE6FBA"/>
    <w:rsid w:val="00CF0D8A"/>
    <w:rsid w:val="00D6589B"/>
    <w:rsid w:val="00D75134"/>
    <w:rsid w:val="00DB6FE7"/>
    <w:rsid w:val="00DE09A8"/>
    <w:rsid w:val="00DE61EC"/>
    <w:rsid w:val="00DF56CA"/>
    <w:rsid w:val="00E2154D"/>
    <w:rsid w:val="00E40004"/>
    <w:rsid w:val="00E864DF"/>
    <w:rsid w:val="00E973BC"/>
    <w:rsid w:val="00EB129A"/>
    <w:rsid w:val="00F0095A"/>
    <w:rsid w:val="00F1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F9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B75"/>
    <w:pPr>
      <w:ind w:left="720"/>
      <w:contextualSpacing/>
    </w:pPr>
  </w:style>
  <w:style w:type="character" w:styleId="Hyperlink">
    <w:name w:val="Hyperlink"/>
    <w:basedOn w:val="DefaultParagraphFont"/>
    <w:rsid w:val="001461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77E4A-5735-4598-BE43-0CD30C209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C3495-B5EC-44C1-BDDF-7A31C4A4E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94DC7-7559-4CE3-A327-296CFE3BF70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1426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1685</CharactersWithSpaces>
  <SharedDoc>false</SharedDoc>
  <HyperlinkBase>https://www.cabinet.qld.gov.au/documents/2018/Nov/CLBill/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subject/>
  <dc:creator/>
  <cp:keywords/>
  <dc:description/>
  <cp:lastModifiedBy/>
  <cp:revision>12</cp:revision>
  <cp:lastPrinted>2020-01-07T01:41:00Z</cp:lastPrinted>
  <dcterms:created xsi:type="dcterms:W3CDTF">2019-05-21T04:59:00Z</dcterms:created>
  <dcterms:modified xsi:type="dcterms:W3CDTF">2020-06-26T03:26:00Z</dcterms:modified>
  <cp:category>Legislation,Justice,Child_Protection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